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441" w:rsidRPr="00451441" w:rsidRDefault="00451441" w:rsidP="00451441">
      <w:pPr>
        <w:ind w:left="720"/>
        <w:jc w:val="right"/>
        <w:rPr>
          <w:b/>
          <w:sz w:val="28"/>
          <w:szCs w:val="28"/>
        </w:rPr>
      </w:pPr>
      <w:r w:rsidRPr="00451441">
        <w:rPr>
          <w:b/>
          <w:sz w:val="28"/>
          <w:szCs w:val="28"/>
        </w:rPr>
        <w:t>Appendix '</w:t>
      </w:r>
      <w:r w:rsidRPr="00451441">
        <w:rPr>
          <w:b/>
          <w:sz w:val="28"/>
          <w:szCs w:val="28"/>
        </w:rPr>
        <w:t>A'</w:t>
      </w:r>
    </w:p>
    <w:p w:rsidR="00451441" w:rsidRDefault="00451441" w:rsidP="002A52E8">
      <w:pPr>
        <w:jc w:val="both"/>
        <w:rPr>
          <w:b/>
        </w:rPr>
      </w:pPr>
    </w:p>
    <w:p w:rsidR="00AC49A8" w:rsidRDefault="00451441" w:rsidP="002A52E8">
      <w:pPr>
        <w:jc w:val="both"/>
        <w:rPr>
          <w:b/>
        </w:rPr>
      </w:pPr>
      <w:r>
        <w:rPr>
          <w:b/>
        </w:rPr>
        <w:t>2016/17</w:t>
      </w:r>
      <w:r>
        <w:rPr>
          <w:b/>
        </w:rPr>
        <w:t xml:space="preserve"> Proposed </w:t>
      </w:r>
      <w:r>
        <w:rPr>
          <w:b/>
        </w:rPr>
        <w:t>Criteria</w:t>
      </w:r>
      <w:r>
        <w:rPr>
          <w:b/>
        </w:rPr>
        <w:t xml:space="preserve"> to Determine Maintenance of Assets</w:t>
      </w:r>
      <w:r>
        <w:rPr>
          <w:b/>
        </w:rPr>
        <w:t xml:space="preserve">, </w:t>
      </w:r>
      <w:r>
        <w:rPr>
          <w:b/>
        </w:rPr>
        <w:t>Road Safety</w:t>
      </w:r>
      <w:r>
        <w:rPr>
          <w:b/>
        </w:rPr>
        <w:t>, Cycling</w:t>
      </w:r>
      <w:r>
        <w:rPr>
          <w:b/>
        </w:rPr>
        <w:t xml:space="preserve"> and Public Rights of Way</w:t>
      </w:r>
      <w:r>
        <w:rPr>
          <w:b/>
        </w:rPr>
        <w:t xml:space="preserve"> New Starts Programmes</w:t>
      </w:r>
    </w:p>
    <w:p w:rsidR="00C95903" w:rsidRDefault="00451441" w:rsidP="00AC49A8">
      <w:pPr>
        <w:rPr>
          <w:b/>
        </w:rPr>
      </w:pPr>
    </w:p>
    <w:p w:rsidR="00C95903" w:rsidRPr="008254D1" w:rsidRDefault="00451441" w:rsidP="00C95903">
      <w:pPr>
        <w:ind w:left="-284"/>
        <w:jc w:val="both"/>
      </w:pPr>
      <w:r w:rsidRPr="008254D1">
        <w:t xml:space="preserve">The </w:t>
      </w:r>
      <w:r>
        <w:t xml:space="preserve">proposed </w:t>
      </w:r>
      <w:r>
        <w:t>criteria for determining projects to be included in</w:t>
      </w:r>
      <w:r>
        <w:t xml:space="preserve"> the </w:t>
      </w:r>
      <w:r>
        <w:t>2016/17</w:t>
      </w:r>
      <w:r>
        <w:t xml:space="preserve"> </w:t>
      </w:r>
      <w:r>
        <w:t>capital programme is</w:t>
      </w:r>
      <w:r w:rsidRPr="008254D1">
        <w:t xml:space="preserve"> set out below.  </w:t>
      </w:r>
    </w:p>
    <w:p w:rsidR="00AC49A8" w:rsidRDefault="00451441" w:rsidP="00AC49A8">
      <w:pPr>
        <w:rPr>
          <w:u w:val="single"/>
        </w:rPr>
      </w:pPr>
    </w:p>
    <w:tbl>
      <w:tblPr>
        <w:tblStyle w:val="TableGrid"/>
        <w:tblW w:w="966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7683"/>
      </w:tblGrid>
      <w:tr w:rsidR="00797B21" w:rsidTr="00097019">
        <w:tc>
          <w:tcPr>
            <w:tcW w:w="1986" w:type="dxa"/>
          </w:tcPr>
          <w:p w:rsidR="00097019" w:rsidRPr="008642C8" w:rsidRDefault="00451441" w:rsidP="00C9590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8642C8">
              <w:rPr>
                <w:rFonts w:cs="Arial"/>
                <w:b/>
                <w:sz w:val="22"/>
                <w:szCs w:val="22"/>
              </w:rPr>
              <w:t>Asset Class</w:t>
            </w:r>
          </w:p>
        </w:tc>
        <w:tc>
          <w:tcPr>
            <w:tcW w:w="7683" w:type="dxa"/>
          </w:tcPr>
          <w:p w:rsidR="00097019" w:rsidRPr="008642C8" w:rsidRDefault="00451441" w:rsidP="0032532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2015-16 </w:t>
            </w:r>
            <w:r w:rsidRPr="008642C8">
              <w:rPr>
                <w:rFonts w:cs="Arial"/>
                <w:b/>
                <w:sz w:val="22"/>
                <w:szCs w:val="22"/>
              </w:rPr>
              <w:t>Proposed Criteria</w:t>
            </w:r>
          </w:p>
        </w:tc>
      </w:tr>
      <w:tr w:rsidR="00797B21" w:rsidTr="00BA4337">
        <w:trPr>
          <w:trHeight w:val="3308"/>
        </w:trPr>
        <w:tc>
          <w:tcPr>
            <w:tcW w:w="1986" w:type="dxa"/>
            <w:vAlign w:val="center"/>
          </w:tcPr>
          <w:p w:rsidR="00097019" w:rsidRPr="008642C8" w:rsidRDefault="00451441" w:rsidP="00C95903">
            <w:pPr>
              <w:jc w:val="center"/>
              <w:rPr>
                <w:rFonts w:cs="Arial"/>
                <w:sz w:val="22"/>
                <w:szCs w:val="22"/>
              </w:rPr>
            </w:pPr>
            <w:r w:rsidRPr="008642C8">
              <w:rPr>
                <w:rFonts w:cs="Arial"/>
                <w:sz w:val="22"/>
                <w:szCs w:val="22"/>
              </w:rPr>
              <w:t>A,B,C Roads</w:t>
            </w:r>
          </w:p>
        </w:tc>
        <w:tc>
          <w:tcPr>
            <w:tcW w:w="7683" w:type="dxa"/>
          </w:tcPr>
          <w:p w:rsidR="00097019" w:rsidRPr="000B25C1" w:rsidRDefault="00451441" w:rsidP="008B5219">
            <w:pPr>
              <w:rPr>
                <w:rFonts w:cs="Arial"/>
                <w:b/>
                <w:sz w:val="22"/>
                <w:szCs w:val="22"/>
              </w:rPr>
            </w:pPr>
          </w:p>
          <w:p w:rsidR="00097019" w:rsidRPr="000B25C1" w:rsidRDefault="00451441" w:rsidP="008B5219">
            <w:pPr>
              <w:rPr>
                <w:rFonts w:cs="Arial"/>
                <w:b/>
                <w:sz w:val="22"/>
                <w:szCs w:val="22"/>
              </w:rPr>
            </w:pPr>
            <w:r w:rsidRPr="000B25C1">
              <w:rPr>
                <w:rFonts w:cs="Arial"/>
                <w:b/>
                <w:sz w:val="22"/>
                <w:szCs w:val="22"/>
              </w:rPr>
              <w:t>Pre patching, surface dressing and resurfacing</w:t>
            </w:r>
          </w:p>
          <w:p w:rsidR="00097019" w:rsidRPr="000B25C1" w:rsidRDefault="00451441" w:rsidP="008B5219">
            <w:pPr>
              <w:rPr>
                <w:rFonts w:cs="Arial"/>
                <w:sz w:val="22"/>
                <w:szCs w:val="22"/>
              </w:rPr>
            </w:pPr>
            <w:r w:rsidRPr="000B25C1">
              <w:rPr>
                <w:rFonts w:cs="Arial"/>
                <w:sz w:val="22"/>
                <w:szCs w:val="22"/>
              </w:rPr>
              <w:t xml:space="preserve">Countywide </w:t>
            </w:r>
            <w:r w:rsidRPr="000B25C1">
              <w:rPr>
                <w:rFonts w:cs="Arial"/>
                <w:sz w:val="22"/>
                <w:szCs w:val="22"/>
              </w:rPr>
              <w:t>prioritisation based</w:t>
            </w:r>
            <w:r w:rsidRPr="000B25C1">
              <w:rPr>
                <w:rFonts w:cs="Arial"/>
                <w:sz w:val="22"/>
                <w:szCs w:val="22"/>
              </w:rPr>
              <w:t xml:space="preserve"> on </w:t>
            </w:r>
            <w:r>
              <w:rPr>
                <w:rFonts w:cs="Arial"/>
                <w:sz w:val="22"/>
                <w:szCs w:val="22"/>
              </w:rPr>
              <w:t xml:space="preserve">condition derived from </w:t>
            </w:r>
            <w:r w:rsidRPr="000B25C1">
              <w:rPr>
                <w:rFonts w:cs="Arial"/>
                <w:sz w:val="22"/>
                <w:szCs w:val="22"/>
              </w:rPr>
              <w:t>scanner and local parameters</w:t>
            </w:r>
            <w:r>
              <w:rPr>
                <w:rFonts w:cs="Arial"/>
                <w:sz w:val="22"/>
                <w:szCs w:val="22"/>
              </w:rPr>
              <w:t xml:space="preserve"> which includes</w:t>
            </w:r>
            <w:r w:rsidRPr="000B25C1">
              <w:rPr>
                <w:rFonts w:cs="Arial"/>
                <w:sz w:val="22"/>
                <w:szCs w:val="22"/>
              </w:rPr>
              <w:t xml:space="preserve"> life</w:t>
            </w:r>
            <w:r w:rsidRPr="000B25C1">
              <w:rPr>
                <w:rFonts w:cs="Arial"/>
                <w:sz w:val="22"/>
                <w:szCs w:val="22"/>
              </w:rPr>
              <w:t xml:space="preserve"> expectancy and deteriorati</w:t>
            </w:r>
            <w:r w:rsidRPr="000B25C1">
              <w:rPr>
                <w:rFonts w:cs="Arial"/>
                <w:sz w:val="22"/>
                <w:szCs w:val="22"/>
              </w:rPr>
              <w:t xml:space="preserve">on </w:t>
            </w:r>
            <w:r w:rsidRPr="000B25C1">
              <w:rPr>
                <w:rFonts w:cs="Arial"/>
                <w:sz w:val="22"/>
                <w:szCs w:val="22"/>
              </w:rPr>
              <w:t>modelling</w:t>
            </w:r>
            <w:r>
              <w:rPr>
                <w:rFonts w:cs="Arial"/>
                <w:sz w:val="22"/>
                <w:szCs w:val="22"/>
              </w:rPr>
              <w:t xml:space="preserve">.  </w:t>
            </w:r>
            <w:r>
              <w:rPr>
                <w:rFonts w:cs="Arial"/>
                <w:sz w:val="22"/>
                <w:szCs w:val="22"/>
              </w:rPr>
              <w:t>Also</w:t>
            </w:r>
            <w:r>
              <w:rPr>
                <w:rFonts w:cs="Arial"/>
                <w:sz w:val="22"/>
                <w:szCs w:val="22"/>
              </w:rPr>
              <w:t xml:space="preserve"> include</w:t>
            </w:r>
            <w:r>
              <w:rPr>
                <w:rFonts w:cs="Arial"/>
                <w:sz w:val="22"/>
                <w:szCs w:val="22"/>
              </w:rPr>
              <w:t>s</w:t>
            </w:r>
            <w:r>
              <w:rPr>
                <w:rFonts w:cs="Arial"/>
                <w:sz w:val="22"/>
                <w:szCs w:val="22"/>
              </w:rPr>
              <w:t xml:space="preserve"> the number of defects, claims and complaints received.  Additionally the</w:t>
            </w:r>
            <w:r w:rsidRPr="000B25C1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strategic significance</w:t>
            </w:r>
            <w:r>
              <w:rPr>
                <w:rFonts w:cs="Arial"/>
                <w:sz w:val="22"/>
                <w:szCs w:val="22"/>
              </w:rPr>
              <w:t xml:space="preserve"> is assessed based upon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priority </w:t>
            </w:r>
            <w:r w:rsidRPr="000B25C1">
              <w:rPr>
                <w:rFonts w:cs="Arial"/>
                <w:sz w:val="22"/>
                <w:szCs w:val="22"/>
              </w:rPr>
              <w:t>gritting routes</w:t>
            </w:r>
            <w:r>
              <w:rPr>
                <w:rFonts w:cs="Arial"/>
                <w:sz w:val="22"/>
                <w:szCs w:val="22"/>
              </w:rPr>
              <w:t xml:space="preserve"> and higher risk routes</w:t>
            </w:r>
            <w:r w:rsidRPr="000B25C1">
              <w:rPr>
                <w:rFonts w:cs="Arial"/>
                <w:sz w:val="22"/>
                <w:szCs w:val="22"/>
              </w:rPr>
              <w:t>.</w:t>
            </w:r>
          </w:p>
          <w:p w:rsidR="00097019" w:rsidRDefault="00451441" w:rsidP="008B5219">
            <w:pPr>
              <w:rPr>
                <w:rFonts w:cs="Arial"/>
                <w:sz w:val="22"/>
                <w:szCs w:val="22"/>
              </w:rPr>
            </w:pPr>
          </w:p>
          <w:p w:rsidR="00097019" w:rsidRPr="000B25C1" w:rsidRDefault="00451441" w:rsidP="008B5219">
            <w:pPr>
              <w:rPr>
                <w:rFonts w:cs="Arial"/>
                <w:b/>
                <w:sz w:val="22"/>
                <w:szCs w:val="22"/>
              </w:rPr>
            </w:pPr>
            <w:r w:rsidRPr="000B25C1">
              <w:rPr>
                <w:rFonts w:cs="Arial"/>
                <w:b/>
                <w:sz w:val="22"/>
                <w:szCs w:val="22"/>
              </w:rPr>
              <w:t>Advance Design</w:t>
            </w:r>
          </w:p>
          <w:p w:rsidR="00097019" w:rsidRPr="000B25C1" w:rsidRDefault="00451441" w:rsidP="008B5219">
            <w:pPr>
              <w:rPr>
                <w:rFonts w:cs="Arial"/>
                <w:sz w:val="22"/>
                <w:szCs w:val="22"/>
              </w:rPr>
            </w:pPr>
            <w:r w:rsidRPr="000B25C1">
              <w:rPr>
                <w:rFonts w:cs="Arial"/>
                <w:sz w:val="22"/>
                <w:szCs w:val="22"/>
              </w:rPr>
              <w:t>Resources allocated to support the development</w:t>
            </w:r>
            <w:r w:rsidRPr="000B25C1">
              <w:rPr>
                <w:rFonts w:cs="Arial"/>
                <w:sz w:val="22"/>
                <w:szCs w:val="22"/>
              </w:rPr>
              <w:t xml:space="preserve"> of the 2016-17 capital programme</w:t>
            </w:r>
            <w:r w:rsidRPr="000B25C1">
              <w:rPr>
                <w:rFonts w:cs="Arial"/>
                <w:sz w:val="22"/>
                <w:szCs w:val="22"/>
              </w:rPr>
              <w:t>.</w:t>
            </w:r>
          </w:p>
          <w:p w:rsidR="00097019" w:rsidRPr="000B25C1" w:rsidRDefault="00451441" w:rsidP="008B5219">
            <w:pPr>
              <w:rPr>
                <w:rFonts w:cs="Arial"/>
                <w:sz w:val="22"/>
                <w:szCs w:val="22"/>
              </w:rPr>
            </w:pPr>
          </w:p>
          <w:p w:rsidR="00097019" w:rsidRPr="000B25C1" w:rsidRDefault="00451441" w:rsidP="008B5219">
            <w:pPr>
              <w:rPr>
                <w:rFonts w:cs="Arial"/>
                <w:b/>
                <w:sz w:val="22"/>
                <w:szCs w:val="22"/>
              </w:rPr>
            </w:pPr>
            <w:r w:rsidRPr="000B25C1">
              <w:rPr>
                <w:rFonts w:cs="Arial"/>
                <w:b/>
                <w:sz w:val="22"/>
                <w:szCs w:val="22"/>
              </w:rPr>
              <w:t>Geotechnics</w:t>
            </w:r>
          </w:p>
          <w:p w:rsidR="00097019" w:rsidRPr="000B25C1" w:rsidRDefault="00451441" w:rsidP="008B5219">
            <w:pPr>
              <w:rPr>
                <w:rFonts w:cs="Arial"/>
                <w:sz w:val="22"/>
                <w:szCs w:val="22"/>
              </w:rPr>
            </w:pPr>
            <w:r w:rsidRPr="000B25C1">
              <w:rPr>
                <w:rFonts w:cs="Arial"/>
                <w:sz w:val="22"/>
                <w:szCs w:val="22"/>
              </w:rPr>
              <w:t>Resources allocated to support the development of the 2016-17 capital programme</w:t>
            </w:r>
            <w:r w:rsidRPr="000B25C1">
              <w:rPr>
                <w:rFonts w:cs="Arial"/>
                <w:sz w:val="22"/>
                <w:szCs w:val="22"/>
              </w:rPr>
              <w:t>.</w:t>
            </w:r>
          </w:p>
          <w:p w:rsidR="00097019" w:rsidRPr="000B25C1" w:rsidRDefault="00451441" w:rsidP="008B5219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797B21" w:rsidTr="00097019">
        <w:trPr>
          <w:trHeight w:val="1132"/>
        </w:trPr>
        <w:tc>
          <w:tcPr>
            <w:tcW w:w="1986" w:type="dxa"/>
            <w:vAlign w:val="center"/>
          </w:tcPr>
          <w:p w:rsidR="006D2D85" w:rsidRPr="008642C8" w:rsidRDefault="00451441" w:rsidP="00C9590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Urban </w:t>
            </w:r>
            <w:r w:rsidRPr="008642C8">
              <w:rPr>
                <w:rFonts w:cs="Arial"/>
                <w:sz w:val="22"/>
                <w:szCs w:val="22"/>
              </w:rPr>
              <w:t>Unclassified Roads</w:t>
            </w:r>
          </w:p>
        </w:tc>
        <w:tc>
          <w:tcPr>
            <w:tcW w:w="7683" w:type="dxa"/>
          </w:tcPr>
          <w:p w:rsidR="00451441" w:rsidRDefault="00451441" w:rsidP="006D2D85">
            <w:pPr>
              <w:rPr>
                <w:rFonts w:cs="Arial"/>
                <w:sz w:val="22"/>
                <w:szCs w:val="22"/>
              </w:rPr>
            </w:pPr>
          </w:p>
          <w:p w:rsidR="006D2D85" w:rsidRPr="000B25C1" w:rsidRDefault="00451441" w:rsidP="006D2D85">
            <w:pPr>
              <w:rPr>
                <w:rFonts w:cs="Arial"/>
                <w:sz w:val="22"/>
                <w:szCs w:val="22"/>
              </w:rPr>
            </w:pPr>
            <w:bookmarkStart w:id="0" w:name="_GoBack"/>
            <w:bookmarkEnd w:id="0"/>
            <w:r w:rsidRPr="000B25C1">
              <w:rPr>
                <w:rFonts w:cs="Arial"/>
                <w:sz w:val="22"/>
                <w:szCs w:val="22"/>
              </w:rPr>
              <w:t xml:space="preserve">80% on the basis of the length of </w:t>
            </w:r>
            <w:r w:rsidRPr="000B25C1">
              <w:rPr>
                <w:rFonts w:cs="Arial"/>
                <w:sz w:val="22"/>
                <w:szCs w:val="22"/>
              </w:rPr>
              <w:t xml:space="preserve">the </w:t>
            </w:r>
            <w:r w:rsidRPr="000B25C1">
              <w:rPr>
                <w:rFonts w:cs="Arial"/>
                <w:sz w:val="22"/>
                <w:szCs w:val="22"/>
              </w:rPr>
              <w:t>network in each district</w:t>
            </w:r>
            <w:r w:rsidRPr="000B25C1">
              <w:rPr>
                <w:rFonts w:cs="Arial"/>
                <w:sz w:val="22"/>
                <w:szCs w:val="22"/>
              </w:rPr>
              <w:t>,</w:t>
            </w:r>
            <w:r w:rsidRPr="000B25C1">
              <w:rPr>
                <w:rFonts w:cs="Arial"/>
                <w:sz w:val="22"/>
                <w:szCs w:val="22"/>
              </w:rPr>
              <w:t xml:space="preserve"> </w:t>
            </w:r>
            <w:r w:rsidRPr="000B25C1">
              <w:rPr>
                <w:rFonts w:cs="Arial"/>
                <w:sz w:val="22"/>
                <w:szCs w:val="22"/>
              </w:rPr>
              <w:t xml:space="preserve">and </w:t>
            </w:r>
            <w:r w:rsidRPr="000B25C1">
              <w:rPr>
                <w:rFonts w:cs="Arial"/>
                <w:sz w:val="22"/>
                <w:szCs w:val="22"/>
              </w:rPr>
              <w:t xml:space="preserve">20% on the </w:t>
            </w:r>
            <w:r w:rsidRPr="000B25C1">
              <w:rPr>
                <w:rFonts w:cs="Arial"/>
                <w:sz w:val="22"/>
                <w:szCs w:val="22"/>
              </w:rPr>
              <w:t>basis of the numbers</w:t>
            </w:r>
            <w:r w:rsidRPr="000B25C1">
              <w:rPr>
                <w:rFonts w:cs="Arial"/>
                <w:sz w:val="22"/>
                <w:szCs w:val="22"/>
              </w:rPr>
              <w:t xml:space="preserve"> of highway</w:t>
            </w:r>
            <w:r w:rsidRPr="000B25C1">
              <w:rPr>
                <w:rFonts w:cs="Arial"/>
                <w:sz w:val="22"/>
                <w:szCs w:val="22"/>
              </w:rPr>
              <w:t xml:space="preserve"> safety defects identified in each district.</w:t>
            </w:r>
            <w:r w:rsidRPr="000B25C1">
              <w:rPr>
                <w:rFonts w:cs="Arial"/>
                <w:sz w:val="22"/>
                <w:szCs w:val="22"/>
              </w:rPr>
              <w:t xml:space="preserve"> Surface dressing schemes have been </w:t>
            </w:r>
            <w:r>
              <w:rPr>
                <w:rFonts w:cs="Arial"/>
                <w:sz w:val="22"/>
                <w:szCs w:val="22"/>
              </w:rPr>
              <w:t>ranked</w:t>
            </w:r>
            <w:r>
              <w:rPr>
                <w:rFonts w:cs="Arial"/>
                <w:sz w:val="22"/>
                <w:szCs w:val="22"/>
              </w:rPr>
              <w:t xml:space="preserve"> based on the princip</w:t>
            </w:r>
            <w:r w:rsidRPr="000B25C1">
              <w:rPr>
                <w:rFonts w:cs="Arial"/>
                <w:sz w:val="22"/>
                <w:szCs w:val="22"/>
              </w:rPr>
              <w:t>l</w:t>
            </w:r>
            <w:r>
              <w:rPr>
                <w:rFonts w:cs="Arial"/>
                <w:sz w:val="22"/>
                <w:szCs w:val="22"/>
              </w:rPr>
              <w:t>e</w:t>
            </w:r>
            <w:r w:rsidRPr="000B25C1">
              <w:rPr>
                <w:rFonts w:cs="Arial"/>
                <w:sz w:val="22"/>
                <w:szCs w:val="22"/>
              </w:rPr>
              <w:t>s set out in the TAMP.  Carriageway a</w:t>
            </w:r>
            <w:r w:rsidRPr="000B25C1">
              <w:rPr>
                <w:rFonts w:cs="Arial"/>
                <w:sz w:val="22"/>
                <w:szCs w:val="22"/>
              </w:rPr>
              <w:t xml:space="preserve">nd inlay schemes are </w:t>
            </w:r>
            <w:r>
              <w:rPr>
                <w:rFonts w:cs="Arial"/>
                <w:sz w:val="22"/>
                <w:szCs w:val="22"/>
              </w:rPr>
              <w:t>ranked</w:t>
            </w:r>
            <w:r w:rsidRPr="000B25C1">
              <w:rPr>
                <w:rFonts w:cs="Arial"/>
                <w:sz w:val="22"/>
                <w:szCs w:val="22"/>
              </w:rPr>
              <w:t xml:space="preserve"> on condition (worst first), traffic (type) and use (volume).</w:t>
            </w:r>
          </w:p>
          <w:p w:rsidR="006D2D85" w:rsidRPr="000B25C1" w:rsidRDefault="00451441" w:rsidP="00C95903">
            <w:pPr>
              <w:rPr>
                <w:rFonts w:cs="Arial"/>
                <w:sz w:val="22"/>
                <w:szCs w:val="22"/>
              </w:rPr>
            </w:pPr>
          </w:p>
        </w:tc>
      </w:tr>
      <w:tr w:rsidR="00797B21" w:rsidTr="00097019">
        <w:trPr>
          <w:trHeight w:val="1132"/>
        </w:trPr>
        <w:tc>
          <w:tcPr>
            <w:tcW w:w="1986" w:type="dxa"/>
            <w:vAlign w:val="center"/>
          </w:tcPr>
          <w:p w:rsidR="00097019" w:rsidRPr="008642C8" w:rsidRDefault="00451441" w:rsidP="00C95903">
            <w:pPr>
              <w:jc w:val="center"/>
              <w:rPr>
                <w:rFonts w:cs="Arial"/>
                <w:sz w:val="22"/>
                <w:szCs w:val="22"/>
              </w:rPr>
            </w:pPr>
            <w:r w:rsidRPr="008642C8">
              <w:rPr>
                <w:rFonts w:cs="Arial"/>
                <w:sz w:val="22"/>
                <w:szCs w:val="22"/>
              </w:rPr>
              <w:t>Rural Un</w:t>
            </w:r>
            <w:r w:rsidRPr="008642C8">
              <w:rPr>
                <w:rFonts w:cs="Arial"/>
                <w:sz w:val="22"/>
                <w:szCs w:val="22"/>
              </w:rPr>
              <w:t>classified Roads</w:t>
            </w:r>
          </w:p>
        </w:tc>
        <w:tc>
          <w:tcPr>
            <w:tcW w:w="7683" w:type="dxa"/>
          </w:tcPr>
          <w:p w:rsidR="006D2D85" w:rsidRPr="000B25C1" w:rsidRDefault="00451441" w:rsidP="00C95903">
            <w:pPr>
              <w:rPr>
                <w:rFonts w:cs="Arial"/>
                <w:sz w:val="22"/>
                <w:szCs w:val="22"/>
              </w:rPr>
            </w:pPr>
          </w:p>
          <w:p w:rsidR="00097019" w:rsidRPr="000B25C1" w:rsidRDefault="00451441" w:rsidP="00856B28">
            <w:pPr>
              <w:rPr>
                <w:rFonts w:cs="Arial"/>
                <w:sz w:val="22"/>
                <w:szCs w:val="22"/>
              </w:rPr>
            </w:pPr>
            <w:r w:rsidRPr="000B25C1">
              <w:rPr>
                <w:rFonts w:cs="Arial"/>
                <w:sz w:val="22"/>
                <w:szCs w:val="22"/>
              </w:rPr>
              <w:t xml:space="preserve">50% on the basis of the length of </w:t>
            </w:r>
            <w:r w:rsidRPr="000B25C1">
              <w:rPr>
                <w:rFonts w:cs="Arial"/>
                <w:sz w:val="22"/>
                <w:szCs w:val="22"/>
              </w:rPr>
              <w:t xml:space="preserve">the </w:t>
            </w:r>
            <w:r w:rsidRPr="000B25C1">
              <w:rPr>
                <w:rFonts w:cs="Arial"/>
                <w:sz w:val="22"/>
                <w:szCs w:val="22"/>
              </w:rPr>
              <w:t>network in each district</w:t>
            </w:r>
            <w:r w:rsidRPr="000B25C1">
              <w:rPr>
                <w:rFonts w:cs="Arial"/>
                <w:sz w:val="22"/>
                <w:szCs w:val="22"/>
              </w:rPr>
              <w:t>,</w:t>
            </w:r>
            <w:r w:rsidRPr="000B25C1">
              <w:rPr>
                <w:rFonts w:cs="Arial"/>
                <w:sz w:val="22"/>
                <w:szCs w:val="22"/>
              </w:rPr>
              <w:t xml:space="preserve"> </w:t>
            </w:r>
            <w:r w:rsidRPr="000B25C1">
              <w:rPr>
                <w:rFonts w:cs="Arial"/>
                <w:sz w:val="22"/>
                <w:szCs w:val="22"/>
              </w:rPr>
              <w:t xml:space="preserve">and </w:t>
            </w:r>
            <w:r w:rsidRPr="000B25C1">
              <w:rPr>
                <w:rFonts w:cs="Arial"/>
                <w:sz w:val="22"/>
                <w:szCs w:val="22"/>
              </w:rPr>
              <w:t>50% on the basis of the number of highways safety defects identified in each district.</w:t>
            </w:r>
            <w:r w:rsidRPr="000B25C1">
              <w:rPr>
                <w:rFonts w:cs="Arial"/>
                <w:sz w:val="22"/>
                <w:szCs w:val="22"/>
              </w:rPr>
              <w:t xml:space="preserve"> Surface dressing schemes have been</w:t>
            </w:r>
            <w:r>
              <w:rPr>
                <w:rFonts w:cs="Arial"/>
                <w:sz w:val="22"/>
                <w:szCs w:val="22"/>
              </w:rPr>
              <w:t xml:space="preserve"> ranked</w:t>
            </w:r>
            <w:r>
              <w:rPr>
                <w:rFonts w:cs="Arial"/>
                <w:sz w:val="22"/>
                <w:szCs w:val="22"/>
              </w:rPr>
              <w:t xml:space="preserve"> based on the principle</w:t>
            </w:r>
            <w:r w:rsidRPr="000B25C1">
              <w:rPr>
                <w:rFonts w:cs="Arial"/>
                <w:sz w:val="22"/>
                <w:szCs w:val="22"/>
              </w:rPr>
              <w:t>s set out</w:t>
            </w:r>
            <w:r w:rsidRPr="000B25C1">
              <w:rPr>
                <w:rFonts w:cs="Arial"/>
                <w:sz w:val="22"/>
                <w:szCs w:val="22"/>
              </w:rPr>
              <w:t xml:space="preserve"> in the TAMP.  Carriageway and i</w:t>
            </w:r>
            <w:r w:rsidRPr="000B25C1">
              <w:rPr>
                <w:rFonts w:cs="Arial"/>
                <w:sz w:val="22"/>
                <w:szCs w:val="22"/>
              </w:rPr>
              <w:t>nlay schemes</w:t>
            </w:r>
            <w:r w:rsidRPr="000B25C1">
              <w:rPr>
                <w:rFonts w:cs="Arial"/>
                <w:sz w:val="22"/>
                <w:szCs w:val="22"/>
              </w:rPr>
              <w:t xml:space="preserve"> are</w:t>
            </w:r>
            <w:r w:rsidRPr="000B25C1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ranked</w:t>
            </w:r>
            <w:r w:rsidRPr="000B25C1">
              <w:rPr>
                <w:rFonts w:cs="Arial"/>
                <w:sz w:val="22"/>
                <w:szCs w:val="22"/>
              </w:rPr>
              <w:t xml:space="preserve"> on condition (worst first), traffic (type) and use (volume).</w:t>
            </w:r>
          </w:p>
          <w:p w:rsidR="00DC0B29" w:rsidRPr="000B25C1" w:rsidRDefault="00451441" w:rsidP="00856B28">
            <w:pPr>
              <w:rPr>
                <w:rFonts w:cs="Arial"/>
                <w:sz w:val="22"/>
                <w:szCs w:val="22"/>
              </w:rPr>
            </w:pPr>
          </w:p>
        </w:tc>
      </w:tr>
      <w:tr w:rsidR="00797B21" w:rsidTr="00097019">
        <w:trPr>
          <w:trHeight w:val="824"/>
        </w:trPr>
        <w:tc>
          <w:tcPr>
            <w:tcW w:w="1986" w:type="dxa"/>
            <w:vAlign w:val="center"/>
          </w:tcPr>
          <w:p w:rsidR="00097019" w:rsidRPr="008642C8" w:rsidRDefault="00451441" w:rsidP="00C95903">
            <w:pPr>
              <w:jc w:val="center"/>
              <w:rPr>
                <w:rFonts w:cs="Arial"/>
                <w:sz w:val="22"/>
                <w:szCs w:val="22"/>
              </w:rPr>
            </w:pPr>
            <w:r w:rsidRPr="008642C8">
              <w:rPr>
                <w:rFonts w:cs="Arial"/>
                <w:sz w:val="22"/>
                <w:szCs w:val="22"/>
              </w:rPr>
              <w:t>Footways</w:t>
            </w:r>
          </w:p>
        </w:tc>
        <w:tc>
          <w:tcPr>
            <w:tcW w:w="7683" w:type="dxa"/>
          </w:tcPr>
          <w:p w:rsidR="006D2D85" w:rsidRPr="000B25C1" w:rsidRDefault="00451441" w:rsidP="006D2D85">
            <w:pPr>
              <w:rPr>
                <w:rFonts w:cs="Arial"/>
                <w:sz w:val="22"/>
                <w:szCs w:val="22"/>
              </w:rPr>
            </w:pPr>
          </w:p>
          <w:p w:rsidR="00DC0B29" w:rsidRPr="000B25C1" w:rsidRDefault="00451441" w:rsidP="006D2D85">
            <w:pPr>
              <w:rPr>
                <w:rFonts w:cs="Arial"/>
                <w:sz w:val="22"/>
                <w:szCs w:val="22"/>
              </w:rPr>
            </w:pPr>
            <w:r w:rsidRPr="000B25C1">
              <w:rPr>
                <w:rFonts w:cs="Arial"/>
                <w:sz w:val="22"/>
                <w:szCs w:val="22"/>
              </w:rPr>
              <w:t>Countywide allocation of £3m:</w:t>
            </w:r>
          </w:p>
          <w:p w:rsidR="00DC0B29" w:rsidRPr="000B25C1" w:rsidRDefault="00451441" w:rsidP="006D2D85">
            <w:pPr>
              <w:rPr>
                <w:rFonts w:cs="Arial"/>
                <w:sz w:val="22"/>
                <w:szCs w:val="22"/>
              </w:rPr>
            </w:pPr>
          </w:p>
          <w:p w:rsidR="006D2D85" w:rsidRPr="000B25C1" w:rsidRDefault="00451441" w:rsidP="006D2D85">
            <w:pPr>
              <w:rPr>
                <w:rFonts w:cs="Arial"/>
                <w:sz w:val="22"/>
                <w:szCs w:val="22"/>
              </w:rPr>
            </w:pPr>
            <w:r w:rsidRPr="000B25C1">
              <w:rPr>
                <w:rFonts w:cs="Arial"/>
                <w:sz w:val="22"/>
                <w:szCs w:val="22"/>
              </w:rPr>
              <w:t xml:space="preserve">£2.5m allocated on the basis of </w:t>
            </w:r>
            <w:r w:rsidRPr="000B25C1">
              <w:rPr>
                <w:rFonts w:cs="Arial"/>
                <w:sz w:val="22"/>
                <w:szCs w:val="22"/>
              </w:rPr>
              <w:t xml:space="preserve">50% length of </w:t>
            </w:r>
            <w:r w:rsidRPr="000B25C1">
              <w:rPr>
                <w:rFonts w:cs="Arial"/>
                <w:sz w:val="22"/>
                <w:szCs w:val="22"/>
              </w:rPr>
              <w:t xml:space="preserve">the </w:t>
            </w:r>
            <w:r w:rsidRPr="000B25C1">
              <w:rPr>
                <w:rFonts w:cs="Arial"/>
                <w:sz w:val="22"/>
                <w:szCs w:val="22"/>
              </w:rPr>
              <w:t>network</w:t>
            </w:r>
            <w:r w:rsidRPr="000B25C1">
              <w:rPr>
                <w:rFonts w:cs="Arial"/>
                <w:sz w:val="22"/>
                <w:szCs w:val="22"/>
              </w:rPr>
              <w:t xml:space="preserve"> in each district</w:t>
            </w:r>
            <w:r w:rsidRPr="000B25C1">
              <w:rPr>
                <w:rFonts w:cs="Arial"/>
                <w:sz w:val="22"/>
                <w:szCs w:val="22"/>
              </w:rPr>
              <w:t>,</w:t>
            </w:r>
            <w:r w:rsidRPr="000B25C1">
              <w:rPr>
                <w:rFonts w:cs="Arial"/>
                <w:sz w:val="22"/>
                <w:szCs w:val="22"/>
              </w:rPr>
              <w:t xml:space="preserve"> and</w:t>
            </w:r>
            <w:r w:rsidRPr="000B25C1">
              <w:rPr>
                <w:rFonts w:cs="Arial"/>
                <w:sz w:val="22"/>
                <w:szCs w:val="22"/>
              </w:rPr>
              <w:t xml:space="preserve"> 50% on the basis of the number of highway safety defects identified in each district.</w:t>
            </w:r>
          </w:p>
          <w:p w:rsidR="00DC0B29" w:rsidRPr="000B25C1" w:rsidRDefault="00451441" w:rsidP="006D2D85">
            <w:pPr>
              <w:rPr>
                <w:rFonts w:cs="Arial"/>
                <w:sz w:val="22"/>
                <w:szCs w:val="22"/>
              </w:rPr>
            </w:pPr>
          </w:p>
          <w:p w:rsidR="00AF7271" w:rsidRDefault="00451441" w:rsidP="006D2D85">
            <w:pPr>
              <w:rPr>
                <w:rFonts w:cs="Arial"/>
                <w:sz w:val="22"/>
                <w:szCs w:val="22"/>
              </w:rPr>
            </w:pPr>
            <w:r w:rsidRPr="000B25C1">
              <w:rPr>
                <w:rFonts w:cs="Arial"/>
                <w:sz w:val="22"/>
                <w:szCs w:val="22"/>
              </w:rPr>
              <w:t xml:space="preserve">£0.5m allocated as part of a </w:t>
            </w:r>
            <w:r>
              <w:rPr>
                <w:rFonts w:cs="Arial"/>
                <w:sz w:val="22"/>
                <w:szCs w:val="22"/>
              </w:rPr>
              <w:t xml:space="preserve">3 year </w:t>
            </w:r>
            <w:r w:rsidRPr="000B25C1">
              <w:rPr>
                <w:rFonts w:cs="Arial"/>
                <w:sz w:val="22"/>
                <w:szCs w:val="22"/>
              </w:rPr>
              <w:t>rolling programme to ensure</w:t>
            </w:r>
            <w:r w:rsidRPr="000B25C1">
              <w:rPr>
                <w:rFonts w:cs="Arial"/>
                <w:sz w:val="22"/>
                <w:szCs w:val="22"/>
              </w:rPr>
              <w:t xml:space="preserve"> that the</w:t>
            </w:r>
            <w:r w:rsidRPr="000B25C1">
              <w:rPr>
                <w:rFonts w:cs="Arial"/>
                <w:sz w:val="22"/>
                <w:szCs w:val="22"/>
              </w:rPr>
              <w:t xml:space="preserve"> targeted intervention repairs can be f</w:t>
            </w:r>
            <w:r w:rsidRPr="000B25C1">
              <w:rPr>
                <w:rFonts w:cs="Arial"/>
                <w:sz w:val="22"/>
                <w:szCs w:val="22"/>
              </w:rPr>
              <w:t>unded.</w:t>
            </w:r>
            <w:r w:rsidRPr="000B25C1">
              <w:rPr>
                <w:rFonts w:cs="Arial"/>
                <w:sz w:val="22"/>
                <w:szCs w:val="22"/>
              </w:rPr>
              <w:t xml:space="preserve">  This is to be split evenly </w:t>
            </w:r>
            <w:r>
              <w:rPr>
                <w:rFonts w:cs="Arial"/>
                <w:sz w:val="22"/>
                <w:szCs w:val="22"/>
              </w:rPr>
              <w:t>to enable £0.125m addi</w:t>
            </w:r>
            <w:r>
              <w:rPr>
                <w:rFonts w:cs="Arial"/>
                <w:sz w:val="22"/>
                <w:szCs w:val="22"/>
              </w:rPr>
              <w:t>tional funding to be available for 4 district each year.</w:t>
            </w:r>
          </w:p>
          <w:p w:rsidR="00AF7271" w:rsidRDefault="00451441" w:rsidP="006D2D8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2014/15: </w:t>
            </w:r>
            <w:r w:rsidRPr="000B25C1">
              <w:rPr>
                <w:rFonts w:cs="Arial"/>
                <w:sz w:val="22"/>
                <w:szCs w:val="22"/>
              </w:rPr>
              <w:t>Lancaster, West Lancashire, Wyre and Preston</w:t>
            </w:r>
          </w:p>
          <w:p w:rsidR="00DC0B29" w:rsidRPr="00AF7271" w:rsidRDefault="00451441" w:rsidP="006D2D85">
            <w:pPr>
              <w:rPr>
                <w:rFonts w:cs="Arial"/>
                <w:sz w:val="22"/>
                <w:szCs w:val="22"/>
              </w:rPr>
            </w:pPr>
            <w:r w:rsidRPr="00AF7271">
              <w:rPr>
                <w:rFonts w:cs="Arial"/>
                <w:sz w:val="22"/>
                <w:szCs w:val="22"/>
              </w:rPr>
              <w:t>2015/16:</w:t>
            </w:r>
            <w:r w:rsidRPr="00AF7271">
              <w:rPr>
                <w:rFonts w:cs="Arial"/>
                <w:sz w:val="22"/>
                <w:szCs w:val="22"/>
              </w:rPr>
              <w:t xml:space="preserve"> Fylde, Hyndburn, Burnley and Pendle</w:t>
            </w:r>
          </w:p>
          <w:p w:rsidR="00AF7271" w:rsidRPr="000B25C1" w:rsidRDefault="00451441" w:rsidP="006D2D8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2016/17: South Ribble, Chorley, Ribble Valley and Rossendale</w:t>
            </w:r>
          </w:p>
          <w:p w:rsidR="00097019" w:rsidRPr="000B25C1" w:rsidRDefault="00451441" w:rsidP="006D2D85">
            <w:pPr>
              <w:rPr>
                <w:rFonts w:cs="Arial"/>
                <w:sz w:val="22"/>
                <w:szCs w:val="22"/>
              </w:rPr>
            </w:pPr>
          </w:p>
        </w:tc>
      </w:tr>
      <w:tr w:rsidR="00797B21" w:rsidTr="00097019">
        <w:trPr>
          <w:trHeight w:val="824"/>
        </w:trPr>
        <w:tc>
          <w:tcPr>
            <w:tcW w:w="1986" w:type="dxa"/>
            <w:vAlign w:val="center"/>
          </w:tcPr>
          <w:p w:rsidR="00244D58" w:rsidRPr="008642C8" w:rsidRDefault="00451441" w:rsidP="00C95903">
            <w:pPr>
              <w:jc w:val="center"/>
              <w:rPr>
                <w:rFonts w:cs="Arial"/>
                <w:sz w:val="22"/>
                <w:szCs w:val="22"/>
              </w:rPr>
            </w:pPr>
            <w:r w:rsidRPr="008642C8">
              <w:rPr>
                <w:rFonts w:cs="Arial"/>
                <w:sz w:val="22"/>
                <w:szCs w:val="22"/>
              </w:rPr>
              <w:lastRenderedPageBreak/>
              <w:t>Drainage</w:t>
            </w:r>
          </w:p>
        </w:tc>
        <w:tc>
          <w:tcPr>
            <w:tcW w:w="7683" w:type="dxa"/>
          </w:tcPr>
          <w:p w:rsidR="006D2D85" w:rsidRPr="000B25C1" w:rsidRDefault="00451441" w:rsidP="00C95903">
            <w:pPr>
              <w:rPr>
                <w:rFonts w:cs="Arial"/>
                <w:sz w:val="22"/>
                <w:szCs w:val="22"/>
              </w:rPr>
            </w:pPr>
          </w:p>
          <w:p w:rsidR="00244D58" w:rsidRPr="000B25C1" w:rsidRDefault="00451441" w:rsidP="00C95903">
            <w:pPr>
              <w:rPr>
                <w:rFonts w:cs="Arial"/>
                <w:sz w:val="22"/>
                <w:szCs w:val="22"/>
              </w:rPr>
            </w:pPr>
            <w:r w:rsidRPr="000B25C1">
              <w:rPr>
                <w:rFonts w:cs="Arial"/>
                <w:sz w:val="22"/>
                <w:szCs w:val="22"/>
              </w:rPr>
              <w:t xml:space="preserve">Countywide prioritisation </w:t>
            </w:r>
            <w:r w:rsidRPr="000B25C1">
              <w:rPr>
                <w:rFonts w:cs="Arial"/>
                <w:sz w:val="22"/>
                <w:szCs w:val="22"/>
              </w:rPr>
              <w:t>based on risk of flooding and potential impact</w:t>
            </w:r>
            <w:r w:rsidRPr="000B25C1">
              <w:rPr>
                <w:rFonts w:cs="Arial"/>
                <w:sz w:val="22"/>
                <w:szCs w:val="22"/>
              </w:rPr>
              <w:t>.</w:t>
            </w:r>
          </w:p>
        </w:tc>
      </w:tr>
    </w:tbl>
    <w:p w:rsidR="001C5A75" w:rsidRDefault="00451441"/>
    <w:tbl>
      <w:tblPr>
        <w:tblStyle w:val="TableGrid"/>
        <w:tblW w:w="966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7683"/>
      </w:tblGrid>
      <w:tr w:rsidR="00797B21" w:rsidTr="00097019">
        <w:trPr>
          <w:trHeight w:val="695"/>
        </w:trPr>
        <w:tc>
          <w:tcPr>
            <w:tcW w:w="1986" w:type="dxa"/>
            <w:vAlign w:val="center"/>
          </w:tcPr>
          <w:p w:rsidR="006D2D85" w:rsidRPr="008642C8" w:rsidRDefault="00451441" w:rsidP="00C95903">
            <w:pPr>
              <w:jc w:val="center"/>
              <w:rPr>
                <w:rFonts w:cs="Arial"/>
                <w:sz w:val="22"/>
                <w:szCs w:val="22"/>
              </w:rPr>
            </w:pPr>
            <w:r w:rsidRPr="008642C8">
              <w:rPr>
                <w:rFonts w:cs="Arial"/>
                <w:sz w:val="22"/>
                <w:szCs w:val="22"/>
              </w:rPr>
              <w:t>Light Column Replacement</w:t>
            </w:r>
          </w:p>
        </w:tc>
        <w:tc>
          <w:tcPr>
            <w:tcW w:w="7683" w:type="dxa"/>
          </w:tcPr>
          <w:p w:rsidR="001C5A75" w:rsidRDefault="00451441" w:rsidP="00237410">
            <w:pPr>
              <w:rPr>
                <w:rFonts w:cs="Arial"/>
                <w:sz w:val="22"/>
                <w:szCs w:val="22"/>
              </w:rPr>
            </w:pPr>
          </w:p>
          <w:p w:rsidR="002650D4" w:rsidRDefault="00451441" w:rsidP="00237410">
            <w:pPr>
              <w:rPr>
                <w:rFonts w:cs="Arial"/>
                <w:sz w:val="22"/>
                <w:szCs w:val="22"/>
              </w:rPr>
            </w:pPr>
            <w:r w:rsidRPr="000B25C1">
              <w:rPr>
                <w:rFonts w:cs="Arial"/>
                <w:sz w:val="22"/>
                <w:szCs w:val="22"/>
              </w:rPr>
              <w:t xml:space="preserve">District Allocation: </w:t>
            </w:r>
            <w:r w:rsidRPr="000B25C1">
              <w:rPr>
                <w:rFonts w:cs="Arial"/>
                <w:sz w:val="22"/>
                <w:szCs w:val="22"/>
              </w:rPr>
              <w:t xml:space="preserve">70% on the basis </w:t>
            </w:r>
            <w:r w:rsidRPr="000B25C1">
              <w:rPr>
                <w:rFonts w:cs="Arial"/>
                <w:sz w:val="22"/>
                <w:szCs w:val="22"/>
              </w:rPr>
              <w:t>of reduction of risk based on</w:t>
            </w:r>
            <w:r w:rsidRPr="000B25C1">
              <w:rPr>
                <w:rFonts w:cs="Arial"/>
                <w:sz w:val="22"/>
                <w:szCs w:val="22"/>
              </w:rPr>
              <w:t xml:space="preserve"> condition</w:t>
            </w:r>
            <w:r w:rsidRPr="000B25C1">
              <w:rPr>
                <w:rFonts w:cs="Arial"/>
                <w:sz w:val="22"/>
                <w:szCs w:val="22"/>
              </w:rPr>
              <w:t xml:space="preserve">, </w:t>
            </w:r>
            <w:r w:rsidRPr="000B25C1">
              <w:rPr>
                <w:rFonts w:cs="Arial"/>
                <w:sz w:val="22"/>
                <w:szCs w:val="22"/>
              </w:rPr>
              <w:t xml:space="preserve">and 30% on the basis of unexpected failures based on inventory records. </w:t>
            </w:r>
          </w:p>
          <w:p w:rsidR="001C5A75" w:rsidRPr="000B25C1" w:rsidRDefault="00451441" w:rsidP="00237410">
            <w:pPr>
              <w:rPr>
                <w:rFonts w:cs="Arial"/>
                <w:sz w:val="22"/>
                <w:szCs w:val="22"/>
              </w:rPr>
            </w:pPr>
          </w:p>
        </w:tc>
      </w:tr>
      <w:tr w:rsidR="00797B21" w:rsidTr="00097019">
        <w:trPr>
          <w:trHeight w:val="695"/>
        </w:trPr>
        <w:tc>
          <w:tcPr>
            <w:tcW w:w="1986" w:type="dxa"/>
            <w:vAlign w:val="center"/>
          </w:tcPr>
          <w:p w:rsidR="006D2D85" w:rsidRPr="008642C8" w:rsidRDefault="00451441" w:rsidP="00C95903">
            <w:pPr>
              <w:jc w:val="center"/>
              <w:rPr>
                <w:rFonts w:cs="Arial"/>
                <w:sz w:val="22"/>
                <w:szCs w:val="22"/>
              </w:rPr>
            </w:pPr>
            <w:r w:rsidRPr="008642C8">
              <w:rPr>
                <w:rFonts w:cs="Arial"/>
                <w:sz w:val="22"/>
                <w:szCs w:val="22"/>
              </w:rPr>
              <w:t>Traffic Signals</w:t>
            </w:r>
          </w:p>
        </w:tc>
        <w:tc>
          <w:tcPr>
            <w:tcW w:w="7683" w:type="dxa"/>
          </w:tcPr>
          <w:p w:rsidR="006D2D85" w:rsidRPr="000B25C1" w:rsidRDefault="00451441" w:rsidP="006D2D85">
            <w:pPr>
              <w:rPr>
                <w:rFonts w:cs="Arial"/>
                <w:sz w:val="22"/>
                <w:szCs w:val="22"/>
              </w:rPr>
            </w:pPr>
          </w:p>
          <w:p w:rsidR="006D2D85" w:rsidRPr="000B25C1" w:rsidRDefault="00451441" w:rsidP="006D2D85">
            <w:pPr>
              <w:rPr>
                <w:rFonts w:cs="Arial"/>
                <w:sz w:val="22"/>
                <w:szCs w:val="22"/>
              </w:rPr>
            </w:pPr>
            <w:r w:rsidRPr="000B25C1">
              <w:rPr>
                <w:rFonts w:cs="Arial"/>
                <w:sz w:val="22"/>
                <w:szCs w:val="22"/>
              </w:rPr>
              <w:t>Countywide prioritisation based on the proportion of units beyond their o</w:t>
            </w:r>
            <w:r w:rsidRPr="000B25C1">
              <w:rPr>
                <w:rFonts w:cs="Arial"/>
                <w:sz w:val="22"/>
                <w:szCs w:val="22"/>
              </w:rPr>
              <w:t>perational life</w:t>
            </w:r>
            <w:r w:rsidRPr="000B25C1">
              <w:rPr>
                <w:rFonts w:cs="Arial"/>
                <w:sz w:val="22"/>
                <w:szCs w:val="22"/>
              </w:rPr>
              <w:t>.</w:t>
            </w:r>
          </w:p>
          <w:p w:rsidR="006D2D85" w:rsidRPr="000B25C1" w:rsidRDefault="00451441" w:rsidP="005C300D">
            <w:pPr>
              <w:rPr>
                <w:rFonts w:cs="Arial"/>
                <w:sz w:val="22"/>
                <w:szCs w:val="22"/>
              </w:rPr>
            </w:pPr>
          </w:p>
        </w:tc>
      </w:tr>
      <w:tr w:rsidR="00797B21" w:rsidTr="00097019">
        <w:trPr>
          <w:trHeight w:val="695"/>
        </w:trPr>
        <w:tc>
          <w:tcPr>
            <w:tcW w:w="1986" w:type="dxa"/>
            <w:vAlign w:val="center"/>
          </w:tcPr>
          <w:p w:rsidR="00097019" w:rsidRPr="008642C8" w:rsidRDefault="00451441" w:rsidP="00C95903">
            <w:pPr>
              <w:jc w:val="center"/>
              <w:rPr>
                <w:rFonts w:cs="Arial"/>
                <w:sz w:val="22"/>
                <w:szCs w:val="22"/>
              </w:rPr>
            </w:pPr>
            <w:r w:rsidRPr="008642C8">
              <w:rPr>
                <w:rFonts w:cs="Arial"/>
                <w:sz w:val="22"/>
                <w:szCs w:val="22"/>
              </w:rPr>
              <w:t>Bridges</w:t>
            </w:r>
          </w:p>
        </w:tc>
        <w:tc>
          <w:tcPr>
            <w:tcW w:w="7683" w:type="dxa"/>
          </w:tcPr>
          <w:p w:rsidR="002650D4" w:rsidRPr="000B25C1" w:rsidRDefault="00451441" w:rsidP="005C300D">
            <w:pPr>
              <w:rPr>
                <w:rFonts w:cs="Arial"/>
                <w:sz w:val="22"/>
                <w:szCs w:val="22"/>
              </w:rPr>
            </w:pPr>
          </w:p>
          <w:p w:rsidR="00097019" w:rsidRPr="000B25C1" w:rsidRDefault="00451441" w:rsidP="005C300D">
            <w:pPr>
              <w:rPr>
                <w:rFonts w:cs="Arial"/>
                <w:sz w:val="22"/>
                <w:szCs w:val="22"/>
              </w:rPr>
            </w:pPr>
            <w:r w:rsidRPr="000B25C1">
              <w:rPr>
                <w:rFonts w:cs="Arial"/>
                <w:sz w:val="22"/>
                <w:szCs w:val="22"/>
              </w:rPr>
              <w:t>Countywide prioritisation based on priority bridges as indicated by condition and strategic importance.</w:t>
            </w:r>
          </w:p>
          <w:p w:rsidR="00097019" w:rsidRPr="000B25C1" w:rsidRDefault="00451441" w:rsidP="005C300D">
            <w:pPr>
              <w:rPr>
                <w:rFonts w:cs="Arial"/>
                <w:sz w:val="22"/>
                <w:szCs w:val="22"/>
              </w:rPr>
            </w:pPr>
          </w:p>
        </w:tc>
      </w:tr>
      <w:tr w:rsidR="00797B21" w:rsidTr="00097019">
        <w:trPr>
          <w:trHeight w:val="555"/>
        </w:trPr>
        <w:tc>
          <w:tcPr>
            <w:tcW w:w="1986" w:type="dxa"/>
          </w:tcPr>
          <w:p w:rsidR="002650D4" w:rsidRDefault="00451441" w:rsidP="00AC49A8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097019" w:rsidRDefault="00451441" w:rsidP="00AC49A8">
            <w:pPr>
              <w:jc w:val="center"/>
              <w:rPr>
                <w:rFonts w:cs="Arial"/>
                <w:sz w:val="22"/>
                <w:szCs w:val="22"/>
              </w:rPr>
            </w:pPr>
            <w:r w:rsidRPr="008642C8">
              <w:rPr>
                <w:rFonts w:cs="Arial"/>
                <w:sz w:val="22"/>
                <w:szCs w:val="22"/>
              </w:rPr>
              <w:t>Structural Defects</w:t>
            </w:r>
          </w:p>
          <w:p w:rsidR="002650D4" w:rsidRPr="008642C8" w:rsidRDefault="00451441" w:rsidP="00AC49A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683" w:type="dxa"/>
          </w:tcPr>
          <w:p w:rsidR="002650D4" w:rsidRPr="000B25C1" w:rsidRDefault="00451441" w:rsidP="00C95903">
            <w:pPr>
              <w:rPr>
                <w:rFonts w:cs="Arial"/>
                <w:sz w:val="22"/>
                <w:szCs w:val="22"/>
              </w:rPr>
            </w:pPr>
          </w:p>
          <w:p w:rsidR="00097019" w:rsidRPr="000B25C1" w:rsidRDefault="00451441" w:rsidP="00896893">
            <w:pPr>
              <w:rPr>
                <w:rFonts w:cs="Arial"/>
                <w:sz w:val="22"/>
                <w:szCs w:val="22"/>
              </w:rPr>
            </w:pPr>
            <w:r w:rsidRPr="000B25C1">
              <w:rPr>
                <w:rFonts w:cs="Arial"/>
                <w:sz w:val="22"/>
                <w:szCs w:val="22"/>
              </w:rPr>
              <w:t xml:space="preserve">Indicative allocation based on </w:t>
            </w:r>
            <w:r>
              <w:rPr>
                <w:rFonts w:cs="Arial"/>
                <w:sz w:val="22"/>
                <w:szCs w:val="22"/>
              </w:rPr>
              <w:t xml:space="preserve">the previous </w:t>
            </w:r>
            <w:r>
              <w:rPr>
                <w:rFonts w:cs="Arial"/>
                <w:sz w:val="22"/>
                <w:szCs w:val="22"/>
              </w:rPr>
              <w:t>12 months of defect data (Jan15</w:t>
            </w:r>
            <w:r w:rsidRPr="000B25C1">
              <w:rPr>
                <w:rFonts w:cs="Arial"/>
                <w:sz w:val="22"/>
                <w:szCs w:val="22"/>
              </w:rPr>
              <w:t xml:space="preserve"> –</w:t>
            </w:r>
            <w:r w:rsidRPr="000B25C1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Dec 15</w:t>
            </w:r>
            <w:r w:rsidRPr="000B25C1">
              <w:rPr>
                <w:rFonts w:cs="Arial"/>
                <w:sz w:val="22"/>
                <w:szCs w:val="22"/>
              </w:rPr>
              <w:t xml:space="preserve">) to provide responsive intervention as defeats occur.  Apportioned on an area basis in line with the new highway organisation using this criteria. </w:t>
            </w:r>
            <w:r>
              <w:rPr>
                <w:rFonts w:cs="Arial"/>
                <w:sz w:val="22"/>
                <w:szCs w:val="22"/>
              </w:rPr>
              <w:t>All defects that meet th</w:t>
            </w:r>
            <w:r>
              <w:rPr>
                <w:rFonts w:cs="Arial"/>
                <w:sz w:val="22"/>
                <w:szCs w:val="22"/>
              </w:rPr>
              <w:t>e safety intervention criteria will be addressed and therefore the actual expenditure will reflect operational demand.</w:t>
            </w:r>
            <w:r w:rsidRPr="000B25C1">
              <w:rPr>
                <w:rFonts w:cs="Arial"/>
                <w:sz w:val="22"/>
                <w:szCs w:val="22"/>
              </w:rPr>
              <w:t xml:space="preserve"> </w:t>
            </w:r>
          </w:p>
          <w:p w:rsidR="00896893" w:rsidRPr="000B25C1" w:rsidRDefault="00451441" w:rsidP="00896893">
            <w:pPr>
              <w:rPr>
                <w:rFonts w:cs="Arial"/>
                <w:sz w:val="22"/>
                <w:szCs w:val="22"/>
              </w:rPr>
            </w:pPr>
          </w:p>
        </w:tc>
      </w:tr>
      <w:tr w:rsidR="00797B21" w:rsidTr="006D2D85">
        <w:trPr>
          <w:trHeight w:val="691"/>
        </w:trPr>
        <w:tc>
          <w:tcPr>
            <w:tcW w:w="1986" w:type="dxa"/>
          </w:tcPr>
          <w:p w:rsidR="002650D4" w:rsidRDefault="00451441" w:rsidP="00AC49A8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097019" w:rsidRPr="008642C8" w:rsidRDefault="00451441" w:rsidP="00AC49A8">
            <w:pPr>
              <w:jc w:val="center"/>
              <w:rPr>
                <w:rFonts w:cs="Arial"/>
                <w:sz w:val="22"/>
                <w:szCs w:val="22"/>
              </w:rPr>
            </w:pPr>
            <w:r w:rsidRPr="008642C8">
              <w:rPr>
                <w:rFonts w:cs="Arial"/>
                <w:sz w:val="22"/>
                <w:szCs w:val="22"/>
              </w:rPr>
              <w:t>Road Safety Projects</w:t>
            </w:r>
          </w:p>
        </w:tc>
        <w:tc>
          <w:tcPr>
            <w:tcW w:w="7683" w:type="dxa"/>
          </w:tcPr>
          <w:p w:rsidR="002650D4" w:rsidRPr="000B25C1" w:rsidRDefault="00451441" w:rsidP="00AF2182">
            <w:pPr>
              <w:rPr>
                <w:rFonts w:cs="Arial"/>
                <w:sz w:val="22"/>
                <w:szCs w:val="22"/>
              </w:rPr>
            </w:pPr>
          </w:p>
          <w:p w:rsidR="00097019" w:rsidRPr="000B25C1" w:rsidRDefault="00451441" w:rsidP="00AF2182">
            <w:pPr>
              <w:rPr>
                <w:rFonts w:cs="Arial"/>
                <w:sz w:val="22"/>
                <w:szCs w:val="22"/>
              </w:rPr>
            </w:pPr>
            <w:r w:rsidRPr="000B25C1">
              <w:rPr>
                <w:rFonts w:cs="Arial"/>
                <w:sz w:val="22"/>
                <w:szCs w:val="22"/>
              </w:rPr>
              <w:t xml:space="preserve">Countywide prioritisation based on </w:t>
            </w:r>
            <w:r w:rsidRPr="000B25C1">
              <w:rPr>
                <w:rFonts w:cs="Arial"/>
                <w:sz w:val="22"/>
                <w:szCs w:val="22"/>
              </w:rPr>
              <w:t xml:space="preserve">the </w:t>
            </w:r>
            <w:r w:rsidRPr="000B25C1">
              <w:rPr>
                <w:rFonts w:cs="Arial"/>
                <w:sz w:val="22"/>
                <w:szCs w:val="22"/>
              </w:rPr>
              <w:t>number of casualties, anticipated accident savings, c</w:t>
            </w:r>
            <w:r>
              <w:rPr>
                <w:rFonts w:cs="Arial"/>
                <w:sz w:val="22"/>
                <w:szCs w:val="22"/>
              </w:rPr>
              <w:t>ost, local percepti</w:t>
            </w:r>
            <w:r>
              <w:rPr>
                <w:rFonts w:cs="Arial"/>
                <w:sz w:val="22"/>
                <w:szCs w:val="22"/>
              </w:rPr>
              <w:t>on of safety and</w:t>
            </w:r>
            <w:r w:rsidRPr="000B25C1">
              <w:rPr>
                <w:rFonts w:cs="Arial"/>
                <w:sz w:val="22"/>
                <w:szCs w:val="22"/>
              </w:rPr>
              <w:t xml:space="preserve"> community support</w:t>
            </w:r>
            <w:r w:rsidRPr="000B25C1">
              <w:rPr>
                <w:rFonts w:cs="Arial"/>
                <w:sz w:val="22"/>
                <w:szCs w:val="22"/>
              </w:rPr>
              <w:t>.</w:t>
            </w:r>
          </w:p>
          <w:p w:rsidR="00097019" w:rsidRPr="000B25C1" w:rsidRDefault="00451441" w:rsidP="00AF2182">
            <w:pPr>
              <w:rPr>
                <w:rFonts w:cs="Arial"/>
                <w:sz w:val="22"/>
                <w:szCs w:val="22"/>
              </w:rPr>
            </w:pPr>
          </w:p>
        </w:tc>
      </w:tr>
      <w:tr w:rsidR="00797B21" w:rsidTr="006D2D85">
        <w:trPr>
          <w:trHeight w:val="691"/>
        </w:trPr>
        <w:tc>
          <w:tcPr>
            <w:tcW w:w="1986" w:type="dxa"/>
          </w:tcPr>
          <w:p w:rsidR="00AD43E0" w:rsidRDefault="00451441" w:rsidP="00AC49A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Cycling</w:t>
            </w:r>
          </w:p>
        </w:tc>
        <w:tc>
          <w:tcPr>
            <w:tcW w:w="7683" w:type="dxa"/>
          </w:tcPr>
          <w:p w:rsidR="00AD43E0" w:rsidRPr="000B25C1" w:rsidRDefault="00451441" w:rsidP="00AD43E0">
            <w:pPr>
              <w:rPr>
                <w:rFonts w:cs="Arial"/>
                <w:sz w:val="22"/>
                <w:szCs w:val="22"/>
              </w:rPr>
            </w:pPr>
            <w:r w:rsidRPr="000B25C1">
              <w:rPr>
                <w:rFonts w:cs="Arial"/>
                <w:sz w:val="22"/>
                <w:szCs w:val="22"/>
              </w:rPr>
              <w:t>Countywide prioritisation based on number of cycling casualties, anticipated accident savings and cost.</w:t>
            </w:r>
          </w:p>
          <w:p w:rsidR="00AD43E0" w:rsidRPr="000B25C1" w:rsidRDefault="00451441" w:rsidP="00AF2182">
            <w:pPr>
              <w:rPr>
                <w:rFonts w:cs="Arial"/>
                <w:sz w:val="22"/>
                <w:szCs w:val="22"/>
              </w:rPr>
            </w:pPr>
          </w:p>
        </w:tc>
      </w:tr>
      <w:tr w:rsidR="00797B21" w:rsidTr="00097019">
        <w:trPr>
          <w:trHeight w:val="283"/>
        </w:trPr>
        <w:tc>
          <w:tcPr>
            <w:tcW w:w="1986" w:type="dxa"/>
          </w:tcPr>
          <w:p w:rsidR="00896893" w:rsidRPr="000B25C1" w:rsidRDefault="00451441" w:rsidP="00AC49A8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896893" w:rsidRPr="000B25C1" w:rsidRDefault="00451441" w:rsidP="00AC49A8">
            <w:pPr>
              <w:jc w:val="center"/>
              <w:rPr>
                <w:rFonts w:cs="Arial"/>
                <w:sz w:val="22"/>
                <w:szCs w:val="22"/>
              </w:rPr>
            </w:pPr>
            <w:r w:rsidRPr="000B25C1">
              <w:rPr>
                <w:rFonts w:cs="Arial"/>
                <w:sz w:val="22"/>
                <w:szCs w:val="22"/>
              </w:rPr>
              <w:t>Public Rights of Way</w:t>
            </w:r>
          </w:p>
          <w:p w:rsidR="00896893" w:rsidRPr="00084C27" w:rsidRDefault="00451441" w:rsidP="00AC49A8">
            <w:pPr>
              <w:jc w:val="center"/>
              <w:rPr>
                <w:rFonts w:cs="Arial"/>
                <w:sz w:val="22"/>
                <w:szCs w:val="22"/>
                <w:highlight w:val="yellow"/>
              </w:rPr>
            </w:pPr>
          </w:p>
        </w:tc>
        <w:tc>
          <w:tcPr>
            <w:tcW w:w="7683" w:type="dxa"/>
          </w:tcPr>
          <w:p w:rsidR="00896893" w:rsidRPr="000B25C1" w:rsidRDefault="00451441" w:rsidP="00B30AAE">
            <w:pPr>
              <w:rPr>
                <w:rFonts w:cs="Arial"/>
                <w:sz w:val="22"/>
                <w:szCs w:val="22"/>
              </w:rPr>
            </w:pPr>
          </w:p>
          <w:p w:rsidR="00896893" w:rsidRDefault="00451441" w:rsidP="001C5A75">
            <w:pPr>
              <w:rPr>
                <w:rFonts w:cs="Arial"/>
                <w:sz w:val="22"/>
                <w:szCs w:val="22"/>
              </w:rPr>
            </w:pPr>
            <w:r w:rsidRPr="000B25C1">
              <w:rPr>
                <w:rFonts w:cs="Arial"/>
                <w:sz w:val="22"/>
                <w:szCs w:val="22"/>
              </w:rPr>
              <w:t>County</w:t>
            </w:r>
            <w:r w:rsidRPr="000B25C1">
              <w:rPr>
                <w:rFonts w:cs="Arial"/>
                <w:sz w:val="22"/>
                <w:szCs w:val="22"/>
              </w:rPr>
              <w:t>wide intervention</w:t>
            </w:r>
            <w:r>
              <w:rPr>
                <w:rFonts w:cs="Arial"/>
                <w:sz w:val="22"/>
                <w:szCs w:val="22"/>
              </w:rPr>
              <w:t>: design and works</w:t>
            </w:r>
            <w:r w:rsidRPr="000B25C1">
              <w:rPr>
                <w:rFonts w:cs="Arial"/>
                <w:sz w:val="22"/>
                <w:szCs w:val="22"/>
              </w:rPr>
              <w:t xml:space="preserve"> </w:t>
            </w:r>
            <w:r w:rsidRPr="000B25C1">
              <w:rPr>
                <w:rFonts w:cs="Arial"/>
                <w:sz w:val="22"/>
                <w:szCs w:val="22"/>
              </w:rPr>
              <w:t xml:space="preserve">to address structural repairs on the </w:t>
            </w:r>
            <w:r w:rsidRPr="000B25C1">
              <w:rPr>
                <w:rFonts w:cs="Arial"/>
                <w:sz w:val="22"/>
                <w:szCs w:val="22"/>
              </w:rPr>
              <w:t>Public Rights of Way network</w:t>
            </w:r>
            <w:r>
              <w:rPr>
                <w:rFonts w:cs="Arial"/>
                <w:sz w:val="22"/>
                <w:szCs w:val="22"/>
              </w:rPr>
              <w:t xml:space="preserve"> on an ongoing basis and to address issues as they arise throughout the year</w:t>
            </w:r>
            <w:r>
              <w:rPr>
                <w:rFonts w:cs="Arial"/>
                <w:sz w:val="22"/>
                <w:szCs w:val="22"/>
              </w:rPr>
              <w:t>.</w:t>
            </w:r>
          </w:p>
          <w:p w:rsidR="002D3641" w:rsidRPr="000B25C1" w:rsidRDefault="00451441" w:rsidP="001C5A75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AC49A8" w:rsidRDefault="00451441" w:rsidP="00AC49A8"/>
    <w:p w:rsidR="005365A1" w:rsidRDefault="00451441"/>
    <w:sectPr w:rsidR="005365A1" w:rsidSect="00AC49A8">
      <w:headerReference w:type="default" r:id="rId7"/>
      <w:footerReference w:type="default" r:id="rId8"/>
      <w:footerReference w:type="first" r:id="rId9"/>
      <w:pgSz w:w="11907" w:h="16840" w:code="9"/>
      <w:pgMar w:top="1134" w:right="1440" w:bottom="1440" w:left="1440" w:header="720" w:footer="306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51441">
      <w:r>
        <w:separator/>
      </w:r>
    </w:p>
  </w:endnote>
  <w:endnote w:type="continuationSeparator" w:id="0">
    <w:p w:rsidR="00000000" w:rsidRDefault="00451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243"/>
    </w:tblGrid>
    <w:tr w:rsidR="00797B21">
      <w:tc>
        <w:tcPr>
          <w:tcW w:w="9243" w:type="dxa"/>
          <w:tcBorders>
            <w:top w:val="nil"/>
            <w:left w:val="nil"/>
            <w:bottom w:val="nil"/>
            <w:right w:val="nil"/>
          </w:tcBorders>
        </w:tcPr>
        <w:p w:rsidR="00DB50CC" w:rsidRDefault="00451441">
          <w:pPr>
            <w:pStyle w:val="Footer"/>
            <w:tabs>
              <w:tab w:val="clear" w:pos="4153"/>
            </w:tabs>
            <w:ind w:right="-45"/>
            <w:jc w:val="right"/>
          </w:pPr>
        </w:p>
      </w:tc>
    </w:tr>
  </w:tbl>
  <w:p w:rsidR="00DB50CC" w:rsidRDefault="00451441">
    <w:pPr>
      <w:pStyle w:val="Footer"/>
      <w:tabs>
        <w:tab w:val="clear" w:pos="4153"/>
      </w:tabs>
      <w:ind w:right="-4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027"/>
    </w:tblGrid>
    <w:tr w:rsidR="00797B21" w:rsidTr="00C95903">
      <w:tc>
        <w:tcPr>
          <w:tcW w:w="9243" w:type="dxa"/>
          <w:tcBorders>
            <w:top w:val="nil"/>
            <w:left w:val="nil"/>
            <w:bottom w:val="nil"/>
            <w:right w:val="nil"/>
          </w:tcBorders>
        </w:tcPr>
        <w:p w:rsidR="00DB50CC" w:rsidRDefault="00451441" w:rsidP="00C95903">
          <w:pPr>
            <w:pStyle w:val="Footer"/>
            <w:jc w:val="right"/>
          </w:pPr>
          <w:r>
            <w:rPr>
              <w:noProof/>
            </w:rPr>
            <w:drawing>
              <wp:inline distT="0" distB="0" distL="0" distR="0">
                <wp:extent cx="1254760" cy="627380"/>
                <wp:effectExtent l="19050" t="0" r="2540" b="0"/>
                <wp:docPr id="1" name="Picture 2" descr="A4 65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4 65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4760" cy="627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B50CC" w:rsidRDefault="004514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51441">
      <w:r>
        <w:separator/>
      </w:r>
    </w:p>
  </w:footnote>
  <w:footnote w:type="continuationSeparator" w:id="0">
    <w:p w:rsidR="00000000" w:rsidRDefault="004514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0CC" w:rsidRDefault="00451441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- 2 -</w:t>
    </w:r>
    <w:r>
      <w:rPr>
        <w:noProof/>
      </w:rPr>
      <w:fldChar w:fldCharType="end"/>
    </w:r>
  </w:p>
  <w:p w:rsidR="00DB50CC" w:rsidRDefault="004514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D9743E"/>
    <w:multiLevelType w:val="hybridMultilevel"/>
    <w:tmpl w:val="66F085BA"/>
    <w:lvl w:ilvl="0" w:tplc="CCDA6182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502AED08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DB16900C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9C00317E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1EDD56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B3484B3A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87CC33AC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D2A0FE38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6ACBF94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B21"/>
    <w:rsid w:val="00451441"/>
    <w:rsid w:val="0079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5654B1-BC0F-4250-B9EF-C8944FB13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49A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C49A8"/>
  </w:style>
  <w:style w:type="character" w:customStyle="1" w:styleId="HeaderChar">
    <w:name w:val="Header Char"/>
    <w:basedOn w:val="DefaultParagraphFont"/>
    <w:link w:val="Header"/>
    <w:uiPriority w:val="99"/>
    <w:rsid w:val="00AC49A8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rsid w:val="00AC49A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C49A8"/>
    <w:rPr>
      <w:rFonts w:ascii="Arial" w:eastAsia="Times New Roman" w:hAnsi="Arial" w:cs="Times New Roman"/>
      <w:sz w:val="24"/>
      <w:szCs w:val="20"/>
      <w:lang w:eastAsia="en-GB"/>
    </w:rPr>
  </w:style>
  <w:style w:type="table" w:styleId="TableGrid">
    <w:name w:val="Table Grid"/>
    <w:basedOn w:val="TableNormal"/>
    <w:uiPriority w:val="59"/>
    <w:rsid w:val="00AC4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49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gu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9A8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3F0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jwilson004</dc:creator>
  <cp:lastModifiedBy>Johnson, Jane</cp:lastModifiedBy>
  <cp:revision>3</cp:revision>
  <cp:lastPrinted>2015-02-27T14:36:00Z</cp:lastPrinted>
  <dcterms:created xsi:type="dcterms:W3CDTF">2016-03-31T14:29:00Z</dcterms:created>
  <dcterms:modified xsi:type="dcterms:W3CDTF">2016-04-01T15:14:00Z</dcterms:modified>
</cp:coreProperties>
</file>